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4EFAE" w14:textId="7FA56C95" w:rsidR="004A7B48" w:rsidRPr="004A7B48" w:rsidRDefault="004A7B48" w:rsidP="004A7B48">
      <w:pPr>
        <w:shd w:val="clear" w:color="auto" w:fill="FFFFFF"/>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b/>
          <w:bCs/>
          <w:color w:val="333333"/>
          <w:sz w:val="26"/>
          <w:szCs w:val="26"/>
          <w:lang w:eastAsia="ru-RU"/>
        </w:rPr>
        <w:t>Оценка качества финансового менеджмента муниципальных учреждений культуры</w:t>
      </w:r>
      <w:r>
        <w:rPr>
          <w:rFonts w:ascii="Arial" w:eastAsia="Times New Roman" w:hAnsi="Arial" w:cs="Arial"/>
          <w:color w:val="333333"/>
          <w:sz w:val="26"/>
          <w:szCs w:val="26"/>
          <w:lang w:eastAsia="ru-RU"/>
        </w:rPr>
        <w:t xml:space="preserve"> </w:t>
      </w:r>
      <w:r w:rsidRPr="004A7B48">
        <w:rPr>
          <w:rFonts w:ascii="Arial" w:eastAsia="Times New Roman" w:hAnsi="Arial" w:cs="Arial"/>
          <w:b/>
          <w:bCs/>
          <w:color w:val="333333"/>
          <w:sz w:val="26"/>
          <w:szCs w:val="26"/>
          <w:lang w:eastAsia="ru-RU"/>
        </w:rPr>
        <w:t>подведомственными отделу культуры администрации города Комсомольска-на-Амуре за 2017 год</w:t>
      </w:r>
    </w:p>
    <w:p w14:paraId="5EFB993C" w14:textId="77777777" w:rsidR="004A7B48" w:rsidRPr="004A7B48" w:rsidRDefault="004A7B48" w:rsidP="004A7B48">
      <w:pPr>
        <w:shd w:val="clear" w:color="auto" w:fill="FFFFFF"/>
        <w:spacing w:after="150" w:line="240" w:lineRule="auto"/>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 </w:t>
      </w:r>
    </w:p>
    <w:p w14:paraId="75328762" w14:textId="77777777" w:rsidR="004A7B48" w:rsidRPr="004A7B48" w:rsidRDefault="004A7B48" w:rsidP="004A7B48">
      <w:pPr>
        <w:shd w:val="clear" w:color="auto" w:fill="FFFFFF"/>
        <w:spacing w:after="150" w:line="240" w:lineRule="auto"/>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 xml:space="preserve">     В соответствии </w:t>
      </w:r>
      <w:proofErr w:type="gramStart"/>
      <w:r w:rsidRPr="004A7B48">
        <w:rPr>
          <w:rFonts w:ascii="Arial" w:eastAsia="Times New Roman" w:hAnsi="Arial" w:cs="Arial"/>
          <w:color w:val="333333"/>
          <w:sz w:val="26"/>
          <w:szCs w:val="26"/>
          <w:lang w:eastAsia="ru-RU"/>
        </w:rPr>
        <w:t>с  приказом</w:t>
      </w:r>
      <w:proofErr w:type="gramEnd"/>
      <w:r w:rsidRPr="004A7B48">
        <w:rPr>
          <w:rFonts w:ascii="Arial" w:eastAsia="Times New Roman" w:hAnsi="Arial" w:cs="Arial"/>
          <w:color w:val="333333"/>
          <w:sz w:val="26"/>
          <w:szCs w:val="26"/>
          <w:lang w:eastAsia="ru-RU"/>
        </w:rPr>
        <w:t xml:space="preserve"> отдела культуры администрации города Комсомольска-на-Амуре от 19 апреля 2013г.  № 1-13/</w:t>
      </w:r>
      <w:proofErr w:type="gramStart"/>
      <w:r w:rsidRPr="004A7B48">
        <w:rPr>
          <w:rFonts w:ascii="Arial" w:eastAsia="Times New Roman" w:hAnsi="Arial" w:cs="Arial"/>
          <w:color w:val="333333"/>
          <w:sz w:val="26"/>
          <w:szCs w:val="26"/>
          <w:lang w:eastAsia="ru-RU"/>
        </w:rPr>
        <w:t>10  «</w:t>
      </w:r>
      <w:proofErr w:type="gramEnd"/>
      <w:r w:rsidRPr="004A7B48">
        <w:rPr>
          <w:rFonts w:ascii="Arial" w:eastAsia="Times New Roman" w:hAnsi="Arial" w:cs="Arial"/>
          <w:color w:val="333333"/>
          <w:sz w:val="26"/>
          <w:szCs w:val="26"/>
          <w:lang w:eastAsia="ru-RU"/>
        </w:rPr>
        <w:t>Об утверждении Порядка и Методики балльной оценки качества финансового менеджмента осуществляемого муниципальными учреждениями культуры подведомственными отделу культуры администрации города», осуществлена оценка качества финансового менеджмента   муниципальных учреждений культуры подведомственных отделу культуры администрации города за  2017 год</w:t>
      </w:r>
    </w:p>
    <w:p w14:paraId="196EDAE6" w14:textId="1870E0CA" w:rsidR="004A7B48" w:rsidRPr="004A7B48" w:rsidRDefault="004A7B48" w:rsidP="004A7B48">
      <w:pPr>
        <w:shd w:val="clear" w:color="auto" w:fill="FFFFFF"/>
        <w:spacing w:after="150" w:line="240" w:lineRule="auto"/>
        <w:rPr>
          <w:rFonts w:ascii="Arial" w:eastAsia="Times New Roman" w:hAnsi="Arial" w:cs="Arial"/>
          <w:color w:val="333333"/>
          <w:sz w:val="26"/>
          <w:szCs w:val="26"/>
          <w:lang w:eastAsia="ru-RU"/>
        </w:rPr>
      </w:pPr>
    </w:p>
    <w:p w14:paraId="4CD06B0B" w14:textId="77777777" w:rsidR="004A7B48" w:rsidRPr="004A7B48" w:rsidRDefault="004A7B48" w:rsidP="004A7B48">
      <w:pPr>
        <w:shd w:val="clear" w:color="auto" w:fill="FFFFFF"/>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 xml:space="preserve">Сводный рейтинг </w:t>
      </w:r>
      <w:proofErr w:type="gramStart"/>
      <w:r w:rsidRPr="004A7B48">
        <w:rPr>
          <w:rFonts w:ascii="Arial" w:eastAsia="Times New Roman" w:hAnsi="Arial" w:cs="Arial"/>
          <w:color w:val="333333"/>
          <w:sz w:val="26"/>
          <w:szCs w:val="26"/>
          <w:lang w:eastAsia="ru-RU"/>
        </w:rPr>
        <w:t>учреждений  (</w:t>
      </w:r>
      <w:proofErr w:type="gramEnd"/>
      <w:r w:rsidRPr="004A7B48">
        <w:rPr>
          <w:rFonts w:ascii="Arial" w:eastAsia="Times New Roman" w:hAnsi="Arial" w:cs="Arial"/>
          <w:color w:val="333333"/>
          <w:sz w:val="26"/>
          <w:szCs w:val="26"/>
          <w:lang w:eastAsia="ru-RU"/>
        </w:rPr>
        <w:t>качество финансового менеджмента)</w:t>
      </w:r>
    </w:p>
    <w:p w14:paraId="72A75564" w14:textId="77777777" w:rsidR="004A7B48" w:rsidRPr="004A7B48" w:rsidRDefault="004A7B48" w:rsidP="004A7B48">
      <w:pPr>
        <w:shd w:val="clear" w:color="auto" w:fill="FFFFFF"/>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4610"/>
        <w:gridCol w:w="1800"/>
        <w:gridCol w:w="1980"/>
      </w:tblGrid>
      <w:tr w:rsidR="004A7B48" w:rsidRPr="004A7B48" w14:paraId="25FEDE7C" w14:textId="77777777" w:rsidTr="004A7B48">
        <w:tc>
          <w:tcPr>
            <w:tcW w:w="630" w:type="dxa"/>
            <w:shd w:val="clear" w:color="auto" w:fill="FFFFFF"/>
            <w:hideMark/>
          </w:tcPr>
          <w:p w14:paraId="1883D9B6" w14:textId="77777777" w:rsidR="004A7B48" w:rsidRPr="004A7B48" w:rsidRDefault="004A7B48" w:rsidP="004A7B48">
            <w:pPr>
              <w:spacing w:after="150" w:line="240" w:lineRule="auto"/>
              <w:jc w:val="center"/>
              <w:rPr>
                <w:rFonts w:ascii="Arial" w:eastAsia="Times New Roman" w:hAnsi="Arial" w:cs="Arial"/>
                <w:b/>
                <w:color w:val="333333"/>
                <w:sz w:val="26"/>
                <w:szCs w:val="26"/>
                <w:lang w:eastAsia="ru-RU"/>
              </w:rPr>
            </w:pPr>
            <w:r w:rsidRPr="004A7B48">
              <w:rPr>
                <w:rFonts w:ascii="Arial" w:eastAsia="Times New Roman" w:hAnsi="Arial" w:cs="Arial"/>
                <w:b/>
                <w:color w:val="333333"/>
                <w:sz w:val="26"/>
                <w:szCs w:val="26"/>
                <w:lang w:eastAsia="ru-RU"/>
              </w:rPr>
              <w:t>N  </w:t>
            </w:r>
            <w:r w:rsidRPr="004A7B48">
              <w:rPr>
                <w:rFonts w:ascii="Arial" w:eastAsia="Times New Roman" w:hAnsi="Arial" w:cs="Arial"/>
                <w:b/>
                <w:color w:val="333333"/>
                <w:sz w:val="26"/>
                <w:szCs w:val="26"/>
                <w:lang w:eastAsia="ru-RU"/>
              </w:rPr>
              <w:br/>
              <w:t>п/п</w:t>
            </w:r>
          </w:p>
        </w:tc>
        <w:tc>
          <w:tcPr>
            <w:tcW w:w="4610" w:type="dxa"/>
            <w:shd w:val="clear" w:color="auto" w:fill="FFFFFF"/>
            <w:hideMark/>
          </w:tcPr>
          <w:p w14:paraId="1543E2AD" w14:textId="77777777" w:rsidR="004A7B48" w:rsidRPr="004A7B48" w:rsidRDefault="004A7B48" w:rsidP="004A7B48">
            <w:pPr>
              <w:spacing w:after="150" w:line="240" w:lineRule="auto"/>
              <w:jc w:val="center"/>
              <w:rPr>
                <w:rFonts w:ascii="Arial" w:eastAsia="Times New Roman" w:hAnsi="Arial" w:cs="Arial"/>
                <w:b/>
                <w:color w:val="333333"/>
                <w:sz w:val="26"/>
                <w:szCs w:val="26"/>
                <w:lang w:eastAsia="ru-RU"/>
              </w:rPr>
            </w:pPr>
            <w:r w:rsidRPr="004A7B48">
              <w:rPr>
                <w:rFonts w:ascii="Arial" w:eastAsia="Times New Roman" w:hAnsi="Arial" w:cs="Arial"/>
                <w:b/>
                <w:color w:val="333333"/>
                <w:sz w:val="26"/>
                <w:szCs w:val="26"/>
                <w:lang w:eastAsia="ru-RU"/>
              </w:rPr>
              <w:t>Наименование учреждений</w:t>
            </w:r>
          </w:p>
        </w:tc>
        <w:tc>
          <w:tcPr>
            <w:tcW w:w="1800" w:type="dxa"/>
            <w:shd w:val="clear" w:color="auto" w:fill="FFFFFF"/>
            <w:hideMark/>
          </w:tcPr>
          <w:p w14:paraId="24B6D4EB" w14:textId="6CBDFF6F" w:rsidR="004A7B48" w:rsidRPr="004A7B48" w:rsidRDefault="004A7B48" w:rsidP="004A7B48">
            <w:pPr>
              <w:spacing w:after="150" w:line="240" w:lineRule="auto"/>
              <w:jc w:val="center"/>
              <w:rPr>
                <w:rFonts w:ascii="Arial" w:eastAsia="Times New Roman" w:hAnsi="Arial" w:cs="Arial"/>
                <w:b/>
                <w:color w:val="333333"/>
                <w:sz w:val="26"/>
                <w:szCs w:val="26"/>
                <w:lang w:eastAsia="ru-RU"/>
              </w:rPr>
            </w:pPr>
            <w:r w:rsidRPr="004A7B48">
              <w:rPr>
                <w:rFonts w:ascii="Arial" w:eastAsia="Times New Roman" w:hAnsi="Arial" w:cs="Arial"/>
                <w:b/>
                <w:color w:val="333333"/>
                <w:sz w:val="26"/>
                <w:szCs w:val="26"/>
                <w:lang w:eastAsia="ru-RU"/>
              </w:rPr>
              <w:t>Рейтинговая </w:t>
            </w:r>
            <w:r w:rsidRPr="004A7B48">
              <w:rPr>
                <w:rFonts w:ascii="Arial" w:eastAsia="Times New Roman" w:hAnsi="Arial" w:cs="Arial"/>
                <w:b/>
                <w:color w:val="333333"/>
                <w:sz w:val="26"/>
                <w:szCs w:val="26"/>
                <w:lang w:eastAsia="ru-RU"/>
              </w:rPr>
              <w:br/>
              <w:t>оценка </w:t>
            </w:r>
          </w:p>
          <w:p w14:paraId="1512FAEA" w14:textId="77777777" w:rsidR="004A7B48" w:rsidRPr="004A7B48" w:rsidRDefault="004A7B48" w:rsidP="004A7B48">
            <w:pPr>
              <w:spacing w:after="150" w:line="240" w:lineRule="auto"/>
              <w:jc w:val="center"/>
              <w:rPr>
                <w:rFonts w:ascii="Arial" w:eastAsia="Times New Roman" w:hAnsi="Arial" w:cs="Arial"/>
                <w:b/>
                <w:i/>
                <w:color w:val="333333"/>
                <w:sz w:val="26"/>
                <w:szCs w:val="26"/>
                <w:lang w:eastAsia="ru-RU"/>
              </w:rPr>
            </w:pPr>
            <w:r w:rsidRPr="004A7B48">
              <w:rPr>
                <w:rFonts w:ascii="Arial" w:eastAsia="Times New Roman" w:hAnsi="Arial" w:cs="Arial"/>
                <w:b/>
                <w:i/>
                <w:color w:val="333333"/>
                <w:sz w:val="26"/>
                <w:szCs w:val="26"/>
                <w:lang w:eastAsia="ru-RU"/>
              </w:rPr>
              <w:t>(балл)</w:t>
            </w:r>
          </w:p>
          <w:p w14:paraId="143097AF" w14:textId="77777777" w:rsidR="004A7B48" w:rsidRPr="004A7B48" w:rsidRDefault="004A7B48" w:rsidP="004A7B48">
            <w:pPr>
              <w:spacing w:after="150" w:line="240" w:lineRule="auto"/>
              <w:jc w:val="center"/>
              <w:rPr>
                <w:rFonts w:ascii="Arial" w:eastAsia="Times New Roman" w:hAnsi="Arial" w:cs="Arial"/>
                <w:b/>
                <w:color w:val="333333"/>
                <w:sz w:val="26"/>
                <w:szCs w:val="26"/>
                <w:lang w:eastAsia="ru-RU"/>
              </w:rPr>
            </w:pPr>
            <w:r w:rsidRPr="004A7B48">
              <w:rPr>
                <w:rFonts w:ascii="Arial" w:eastAsia="Times New Roman" w:hAnsi="Arial" w:cs="Arial"/>
                <w:b/>
                <w:color w:val="333333"/>
                <w:sz w:val="26"/>
                <w:szCs w:val="26"/>
                <w:lang w:eastAsia="ru-RU"/>
              </w:rPr>
              <w:t> </w:t>
            </w:r>
          </w:p>
        </w:tc>
        <w:tc>
          <w:tcPr>
            <w:tcW w:w="1980" w:type="dxa"/>
            <w:shd w:val="clear" w:color="auto" w:fill="FFFFFF"/>
            <w:hideMark/>
          </w:tcPr>
          <w:p w14:paraId="2737E2A7" w14:textId="77777777" w:rsidR="004A7B48" w:rsidRPr="004A7B48" w:rsidRDefault="004A7B48" w:rsidP="004A7B48">
            <w:pPr>
              <w:spacing w:after="150" w:line="240" w:lineRule="auto"/>
              <w:jc w:val="center"/>
              <w:rPr>
                <w:rFonts w:ascii="Arial" w:eastAsia="Times New Roman" w:hAnsi="Arial" w:cs="Arial"/>
                <w:b/>
                <w:color w:val="333333"/>
                <w:sz w:val="26"/>
                <w:szCs w:val="26"/>
                <w:lang w:eastAsia="ru-RU"/>
              </w:rPr>
            </w:pPr>
            <w:r w:rsidRPr="004A7B48">
              <w:rPr>
                <w:rFonts w:ascii="Arial" w:eastAsia="Times New Roman" w:hAnsi="Arial" w:cs="Arial"/>
                <w:b/>
                <w:color w:val="333333"/>
                <w:sz w:val="26"/>
                <w:szCs w:val="26"/>
                <w:lang w:eastAsia="ru-RU"/>
              </w:rPr>
              <w:t>Суммарная  </w:t>
            </w:r>
            <w:r w:rsidRPr="004A7B48">
              <w:rPr>
                <w:rFonts w:ascii="Arial" w:eastAsia="Times New Roman" w:hAnsi="Arial" w:cs="Arial"/>
                <w:b/>
                <w:color w:val="333333"/>
                <w:sz w:val="26"/>
                <w:szCs w:val="26"/>
                <w:lang w:eastAsia="ru-RU"/>
              </w:rPr>
              <w:br/>
              <w:t>оценка качества</w:t>
            </w:r>
            <w:r w:rsidRPr="004A7B48">
              <w:rPr>
                <w:rFonts w:ascii="Arial" w:eastAsia="Times New Roman" w:hAnsi="Arial" w:cs="Arial"/>
                <w:b/>
                <w:color w:val="333333"/>
                <w:sz w:val="26"/>
                <w:szCs w:val="26"/>
                <w:lang w:eastAsia="ru-RU"/>
              </w:rPr>
              <w:br/>
              <w:t>финансового  </w:t>
            </w:r>
            <w:r w:rsidRPr="004A7B48">
              <w:rPr>
                <w:rFonts w:ascii="Arial" w:eastAsia="Times New Roman" w:hAnsi="Arial" w:cs="Arial"/>
                <w:b/>
                <w:color w:val="333333"/>
                <w:sz w:val="26"/>
                <w:szCs w:val="26"/>
                <w:lang w:eastAsia="ru-RU"/>
              </w:rPr>
              <w:br/>
              <w:t>менеджмента  </w:t>
            </w:r>
            <w:r w:rsidRPr="004A7B48">
              <w:rPr>
                <w:rFonts w:ascii="Arial" w:eastAsia="Times New Roman" w:hAnsi="Arial" w:cs="Arial"/>
                <w:b/>
                <w:color w:val="333333"/>
                <w:sz w:val="26"/>
                <w:szCs w:val="26"/>
                <w:lang w:eastAsia="ru-RU"/>
              </w:rPr>
              <w:br/>
            </w:r>
            <w:r w:rsidRPr="004A7B48">
              <w:rPr>
                <w:rFonts w:ascii="Arial" w:eastAsia="Times New Roman" w:hAnsi="Arial" w:cs="Arial"/>
                <w:b/>
                <w:i/>
                <w:color w:val="333333"/>
                <w:sz w:val="26"/>
                <w:szCs w:val="26"/>
                <w:lang w:eastAsia="ru-RU"/>
              </w:rPr>
              <w:t>(балл)</w:t>
            </w:r>
          </w:p>
        </w:tc>
      </w:tr>
      <w:tr w:rsidR="004A7B48" w:rsidRPr="004A7B48" w14:paraId="4B579859" w14:textId="77777777" w:rsidTr="004A7B48">
        <w:tc>
          <w:tcPr>
            <w:tcW w:w="630" w:type="dxa"/>
            <w:shd w:val="clear" w:color="auto" w:fill="FFFFFF"/>
            <w:hideMark/>
          </w:tcPr>
          <w:p w14:paraId="3DAA0F44"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1</w:t>
            </w:r>
          </w:p>
        </w:tc>
        <w:tc>
          <w:tcPr>
            <w:tcW w:w="4610" w:type="dxa"/>
            <w:shd w:val="clear" w:color="auto" w:fill="FFFFFF"/>
            <w:hideMark/>
          </w:tcPr>
          <w:p w14:paraId="401883D6"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2</w:t>
            </w:r>
          </w:p>
        </w:tc>
        <w:tc>
          <w:tcPr>
            <w:tcW w:w="1800" w:type="dxa"/>
            <w:shd w:val="clear" w:color="auto" w:fill="FFFFFF"/>
            <w:hideMark/>
          </w:tcPr>
          <w:p w14:paraId="0786844F"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3</w:t>
            </w:r>
          </w:p>
        </w:tc>
        <w:tc>
          <w:tcPr>
            <w:tcW w:w="1980" w:type="dxa"/>
            <w:shd w:val="clear" w:color="auto" w:fill="FFFFFF"/>
            <w:hideMark/>
          </w:tcPr>
          <w:p w14:paraId="4E8E7CD3"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w:t>
            </w:r>
          </w:p>
        </w:tc>
      </w:tr>
      <w:tr w:rsidR="004A7B48" w:rsidRPr="004A7B48" w14:paraId="3CBA3BA4" w14:textId="77777777" w:rsidTr="004A7B48">
        <w:tc>
          <w:tcPr>
            <w:tcW w:w="630" w:type="dxa"/>
            <w:shd w:val="clear" w:color="auto" w:fill="FFFFFF"/>
            <w:hideMark/>
          </w:tcPr>
          <w:p w14:paraId="7A7C652C" w14:textId="4FFD24B5"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1</w:t>
            </w:r>
          </w:p>
        </w:tc>
        <w:tc>
          <w:tcPr>
            <w:tcW w:w="4610" w:type="dxa"/>
            <w:shd w:val="clear" w:color="auto" w:fill="FFFFFF"/>
            <w:hideMark/>
          </w:tcPr>
          <w:p w14:paraId="114236D5" w14:textId="77777777" w:rsidR="004A7B48" w:rsidRPr="004A7B48" w:rsidRDefault="004A7B48" w:rsidP="004A7B48">
            <w:pPr>
              <w:spacing w:after="150" w:line="240" w:lineRule="auto"/>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МУК «Городская централизованная библиотека»</w:t>
            </w:r>
          </w:p>
        </w:tc>
        <w:tc>
          <w:tcPr>
            <w:tcW w:w="1800" w:type="dxa"/>
            <w:shd w:val="clear" w:color="auto" w:fill="FFFFFF"/>
            <w:hideMark/>
          </w:tcPr>
          <w:p w14:paraId="343E47F2"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4,7</w:t>
            </w:r>
          </w:p>
        </w:tc>
        <w:tc>
          <w:tcPr>
            <w:tcW w:w="1980" w:type="dxa"/>
            <w:shd w:val="clear" w:color="auto" w:fill="FFFFFF"/>
            <w:hideMark/>
          </w:tcPr>
          <w:p w14:paraId="545ADC17"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46,2</w:t>
            </w:r>
          </w:p>
        </w:tc>
      </w:tr>
      <w:tr w:rsidR="004A7B48" w:rsidRPr="004A7B48" w14:paraId="3D62B8FE" w14:textId="77777777" w:rsidTr="004A7B48">
        <w:tc>
          <w:tcPr>
            <w:tcW w:w="630" w:type="dxa"/>
            <w:shd w:val="clear" w:color="auto" w:fill="FFFFFF"/>
            <w:hideMark/>
          </w:tcPr>
          <w:p w14:paraId="4F8EE1E3" w14:textId="3D76166F"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2</w:t>
            </w:r>
          </w:p>
        </w:tc>
        <w:tc>
          <w:tcPr>
            <w:tcW w:w="4610" w:type="dxa"/>
            <w:shd w:val="clear" w:color="auto" w:fill="FFFFFF"/>
            <w:hideMark/>
          </w:tcPr>
          <w:p w14:paraId="377C9D1A" w14:textId="77777777" w:rsidR="004A7B48" w:rsidRPr="004A7B48" w:rsidRDefault="004A7B48" w:rsidP="004A7B48">
            <w:pPr>
              <w:spacing w:after="150" w:line="240" w:lineRule="auto"/>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МУК «Музей изобразительных искусств»</w:t>
            </w:r>
            <w:bookmarkStart w:id="0" w:name="_GoBack"/>
            <w:bookmarkEnd w:id="0"/>
          </w:p>
        </w:tc>
        <w:tc>
          <w:tcPr>
            <w:tcW w:w="1800" w:type="dxa"/>
            <w:shd w:val="clear" w:color="auto" w:fill="FFFFFF"/>
            <w:hideMark/>
          </w:tcPr>
          <w:p w14:paraId="42A3CDE7"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4,9</w:t>
            </w:r>
          </w:p>
        </w:tc>
        <w:tc>
          <w:tcPr>
            <w:tcW w:w="1980" w:type="dxa"/>
            <w:shd w:val="clear" w:color="auto" w:fill="FFFFFF"/>
            <w:hideMark/>
          </w:tcPr>
          <w:p w14:paraId="211F007F"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48,1</w:t>
            </w:r>
          </w:p>
        </w:tc>
      </w:tr>
      <w:tr w:rsidR="004A7B48" w:rsidRPr="004A7B48" w14:paraId="2F45CBA1" w14:textId="77777777" w:rsidTr="004A7B48">
        <w:tc>
          <w:tcPr>
            <w:tcW w:w="630" w:type="dxa"/>
            <w:shd w:val="clear" w:color="auto" w:fill="FFFFFF"/>
            <w:hideMark/>
          </w:tcPr>
          <w:p w14:paraId="0F5FAC3D" w14:textId="764782A1"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3</w:t>
            </w:r>
          </w:p>
        </w:tc>
        <w:tc>
          <w:tcPr>
            <w:tcW w:w="4610" w:type="dxa"/>
            <w:shd w:val="clear" w:color="auto" w:fill="FFFFFF"/>
            <w:hideMark/>
          </w:tcPr>
          <w:p w14:paraId="645F49F8" w14:textId="77777777" w:rsidR="004A7B48" w:rsidRPr="004A7B48" w:rsidRDefault="004A7B48" w:rsidP="004A7B48">
            <w:pPr>
              <w:spacing w:after="150" w:line="240" w:lineRule="auto"/>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МУК «Краеведческий музей»</w:t>
            </w:r>
          </w:p>
        </w:tc>
        <w:tc>
          <w:tcPr>
            <w:tcW w:w="1800" w:type="dxa"/>
            <w:shd w:val="clear" w:color="auto" w:fill="FFFFFF"/>
            <w:hideMark/>
          </w:tcPr>
          <w:p w14:paraId="36A59692"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4,6</w:t>
            </w:r>
          </w:p>
        </w:tc>
        <w:tc>
          <w:tcPr>
            <w:tcW w:w="1980" w:type="dxa"/>
            <w:shd w:val="clear" w:color="auto" w:fill="FFFFFF"/>
            <w:hideMark/>
          </w:tcPr>
          <w:p w14:paraId="098E32F6"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46</w:t>
            </w:r>
          </w:p>
        </w:tc>
      </w:tr>
      <w:tr w:rsidR="004A7B48" w:rsidRPr="004A7B48" w14:paraId="066B1A05" w14:textId="77777777" w:rsidTr="004A7B48">
        <w:tc>
          <w:tcPr>
            <w:tcW w:w="630" w:type="dxa"/>
            <w:shd w:val="clear" w:color="auto" w:fill="FFFFFF"/>
            <w:hideMark/>
          </w:tcPr>
          <w:p w14:paraId="23A1A52C" w14:textId="306B4051"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w:t>
            </w:r>
          </w:p>
        </w:tc>
        <w:tc>
          <w:tcPr>
            <w:tcW w:w="4610" w:type="dxa"/>
            <w:shd w:val="clear" w:color="auto" w:fill="FFFFFF"/>
            <w:hideMark/>
          </w:tcPr>
          <w:p w14:paraId="0B4A5FFB" w14:textId="77777777" w:rsidR="004A7B48" w:rsidRPr="004A7B48" w:rsidRDefault="004A7B48" w:rsidP="004A7B48">
            <w:pPr>
              <w:spacing w:after="150" w:line="240" w:lineRule="auto"/>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МУК ДК «Алмаз»</w:t>
            </w:r>
          </w:p>
        </w:tc>
        <w:tc>
          <w:tcPr>
            <w:tcW w:w="1800" w:type="dxa"/>
            <w:shd w:val="clear" w:color="auto" w:fill="FFFFFF"/>
            <w:hideMark/>
          </w:tcPr>
          <w:p w14:paraId="3F50CF3D"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4,5</w:t>
            </w:r>
          </w:p>
        </w:tc>
        <w:tc>
          <w:tcPr>
            <w:tcW w:w="1980" w:type="dxa"/>
            <w:shd w:val="clear" w:color="auto" w:fill="FFFFFF"/>
            <w:hideMark/>
          </w:tcPr>
          <w:p w14:paraId="1A2B33B3"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45</w:t>
            </w:r>
          </w:p>
        </w:tc>
      </w:tr>
      <w:tr w:rsidR="004A7B48" w:rsidRPr="004A7B48" w14:paraId="15C8B6C1" w14:textId="77777777" w:rsidTr="004A7B48">
        <w:tc>
          <w:tcPr>
            <w:tcW w:w="630" w:type="dxa"/>
            <w:shd w:val="clear" w:color="auto" w:fill="FFFFFF"/>
            <w:hideMark/>
          </w:tcPr>
          <w:p w14:paraId="55D1E9F0"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5</w:t>
            </w:r>
          </w:p>
        </w:tc>
        <w:tc>
          <w:tcPr>
            <w:tcW w:w="4610" w:type="dxa"/>
            <w:shd w:val="clear" w:color="auto" w:fill="FFFFFF"/>
            <w:hideMark/>
          </w:tcPr>
          <w:p w14:paraId="710877E6" w14:textId="77777777" w:rsidR="004A7B48" w:rsidRPr="004A7B48" w:rsidRDefault="004A7B48" w:rsidP="004A7B48">
            <w:pPr>
              <w:spacing w:after="150" w:line="240" w:lineRule="auto"/>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МАУК «Зоологический центр «Питон»</w:t>
            </w:r>
          </w:p>
        </w:tc>
        <w:tc>
          <w:tcPr>
            <w:tcW w:w="1800" w:type="dxa"/>
            <w:shd w:val="clear" w:color="auto" w:fill="FFFFFF"/>
            <w:hideMark/>
          </w:tcPr>
          <w:p w14:paraId="6CEC98FB"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4,6</w:t>
            </w:r>
          </w:p>
        </w:tc>
        <w:tc>
          <w:tcPr>
            <w:tcW w:w="1980" w:type="dxa"/>
            <w:shd w:val="clear" w:color="auto" w:fill="FFFFFF"/>
            <w:hideMark/>
          </w:tcPr>
          <w:p w14:paraId="4BB5BAB6"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46</w:t>
            </w:r>
          </w:p>
        </w:tc>
      </w:tr>
      <w:tr w:rsidR="004A7B48" w:rsidRPr="004A7B48" w14:paraId="2DEF5AD6" w14:textId="77777777" w:rsidTr="004A7B48">
        <w:tc>
          <w:tcPr>
            <w:tcW w:w="630" w:type="dxa"/>
            <w:shd w:val="clear" w:color="auto" w:fill="FFFFFF"/>
            <w:hideMark/>
          </w:tcPr>
          <w:p w14:paraId="5017CD66"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6</w:t>
            </w:r>
          </w:p>
        </w:tc>
        <w:tc>
          <w:tcPr>
            <w:tcW w:w="4610" w:type="dxa"/>
            <w:shd w:val="clear" w:color="auto" w:fill="FFFFFF"/>
            <w:hideMark/>
          </w:tcPr>
          <w:p w14:paraId="3C2FA03D" w14:textId="77777777" w:rsidR="004A7B48" w:rsidRPr="004A7B48" w:rsidRDefault="004A7B48" w:rsidP="004A7B48">
            <w:pPr>
              <w:spacing w:after="150" w:line="240" w:lineRule="auto"/>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МАУК ДО «Художественная школа»</w:t>
            </w:r>
          </w:p>
        </w:tc>
        <w:tc>
          <w:tcPr>
            <w:tcW w:w="1800" w:type="dxa"/>
            <w:shd w:val="clear" w:color="auto" w:fill="FFFFFF"/>
            <w:hideMark/>
          </w:tcPr>
          <w:p w14:paraId="0A232A5E"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4,5</w:t>
            </w:r>
          </w:p>
        </w:tc>
        <w:tc>
          <w:tcPr>
            <w:tcW w:w="1980" w:type="dxa"/>
            <w:shd w:val="clear" w:color="auto" w:fill="FFFFFF"/>
            <w:hideMark/>
          </w:tcPr>
          <w:p w14:paraId="021D0256"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45</w:t>
            </w:r>
          </w:p>
        </w:tc>
      </w:tr>
      <w:tr w:rsidR="004A7B48" w:rsidRPr="004A7B48" w14:paraId="5AB245F7" w14:textId="77777777" w:rsidTr="004A7B48">
        <w:tc>
          <w:tcPr>
            <w:tcW w:w="630" w:type="dxa"/>
            <w:shd w:val="clear" w:color="auto" w:fill="FFFFFF"/>
            <w:hideMark/>
          </w:tcPr>
          <w:p w14:paraId="527C830F"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7</w:t>
            </w:r>
          </w:p>
        </w:tc>
        <w:tc>
          <w:tcPr>
            <w:tcW w:w="4610" w:type="dxa"/>
            <w:shd w:val="clear" w:color="auto" w:fill="FFFFFF"/>
            <w:hideMark/>
          </w:tcPr>
          <w:p w14:paraId="0DBCB397" w14:textId="77777777" w:rsidR="004A7B48" w:rsidRPr="004A7B48" w:rsidRDefault="004A7B48" w:rsidP="004A7B48">
            <w:pPr>
              <w:spacing w:after="150" w:line="240" w:lineRule="auto"/>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МАУК ДО «Музыкальная школа»</w:t>
            </w:r>
          </w:p>
        </w:tc>
        <w:tc>
          <w:tcPr>
            <w:tcW w:w="1800" w:type="dxa"/>
            <w:shd w:val="clear" w:color="auto" w:fill="FFFFFF"/>
            <w:hideMark/>
          </w:tcPr>
          <w:p w14:paraId="1B4252DE"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4,62</w:t>
            </w:r>
          </w:p>
        </w:tc>
        <w:tc>
          <w:tcPr>
            <w:tcW w:w="1980" w:type="dxa"/>
            <w:shd w:val="clear" w:color="auto" w:fill="FFFFFF"/>
            <w:hideMark/>
          </w:tcPr>
          <w:p w14:paraId="5A71CC2A"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46,1</w:t>
            </w:r>
          </w:p>
        </w:tc>
      </w:tr>
      <w:tr w:rsidR="004A7B48" w:rsidRPr="004A7B48" w14:paraId="36259212" w14:textId="77777777" w:rsidTr="004A7B48">
        <w:tc>
          <w:tcPr>
            <w:tcW w:w="630" w:type="dxa"/>
            <w:shd w:val="clear" w:color="auto" w:fill="FFFFFF"/>
            <w:hideMark/>
          </w:tcPr>
          <w:p w14:paraId="0433055A"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8</w:t>
            </w:r>
          </w:p>
        </w:tc>
        <w:tc>
          <w:tcPr>
            <w:tcW w:w="4610" w:type="dxa"/>
            <w:shd w:val="clear" w:color="auto" w:fill="FFFFFF"/>
            <w:hideMark/>
          </w:tcPr>
          <w:p w14:paraId="34610166" w14:textId="77777777" w:rsidR="004A7B48" w:rsidRPr="004A7B48" w:rsidRDefault="004A7B48" w:rsidP="004A7B48">
            <w:pPr>
              <w:spacing w:after="150" w:line="240" w:lineRule="auto"/>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МУК «Драматический театр»</w:t>
            </w:r>
          </w:p>
        </w:tc>
        <w:tc>
          <w:tcPr>
            <w:tcW w:w="1800" w:type="dxa"/>
            <w:shd w:val="clear" w:color="auto" w:fill="FFFFFF"/>
            <w:hideMark/>
          </w:tcPr>
          <w:p w14:paraId="087F6646"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4,5</w:t>
            </w:r>
          </w:p>
        </w:tc>
        <w:tc>
          <w:tcPr>
            <w:tcW w:w="1980" w:type="dxa"/>
            <w:shd w:val="clear" w:color="auto" w:fill="FFFFFF"/>
            <w:hideMark/>
          </w:tcPr>
          <w:p w14:paraId="1A833218" w14:textId="77777777" w:rsidR="004A7B48" w:rsidRPr="004A7B48" w:rsidRDefault="004A7B48" w:rsidP="004A7B48">
            <w:pPr>
              <w:spacing w:after="150" w:line="240" w:lineRule="auto"/>
              <w:jc w:val="center"/>
              <w:rPr>
                <w:rFonts w:ascii="Arial" w:eastAsia="Times New Roman" w:hAnsi="Arial" w:cs="Arial"/>
                <w:color w:val="333333"/>
                <w:sz w:val="26"/>
                <w:szCs w:val="26"/>
                <w:lang w:eastAsia="ru-RU"/>
              </w:rPr>
            </w:pPr>
            <w:r w:rsidRPr="004A7B48">
              <w:rPr>
                <w:rFonts w:ascii="Arial" w:eastAsia="Times New Roman" w:hAnsi="Arial" w:cs="Arial"/>
                <w:color w:val="333333"/>
                <w:sz w:val="26"/>
                <w:szCs w:val="26"/>
                <w:lang w:eastAsia="ru-RU"/>
              </w:rPr>
              <w:t>45</w:t>
            </w:r>
          </w:p>
        </w:tc>
      </w:tr>
    </w:tbl>
    <w:p w14:paraId="51CA416B" w14:textId="77777777" w:rsidR="00151EF7" w:rsidRDefault="00151EF7"/>
    <w:sectPr w:rsidR="00151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0F"/>
    <w:rsid w:val="00151EF7"/>
    <w:rsid w:val="003B490F"/>
    <w:rsid w:val="004A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7DBA"/>
  <w15:chartTrackingRefBased/>
  <w15:docId w15:val="{17BEBAED-A3DE-491D-9560-A51F107B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7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2019-07-10T11:51:00Z</dcterms:created>
  <dcterms:modified xsi:type="dcterms:W3CDTF">2019-07-10T11:53:00Z</dcterms:modified>
</cp:coreProperties>
</file>